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72" w:rsidRPr="00D12307" w:rsidRDefault="00D12307" w:rsidP="00D12307">
      <w:pPr>
        <w:jc w:val="center"/>
        <w:rPr>
          <w:rFonts w:ascii="Arial" w:hAnsi="Arial" w:cs="Arial"/>
          <w:b/>
          <w:lang w:val="en"/>
        </w:rPr>
      </w:pPr>
      <w:bookmarkStart w:id="0" w:name="_GoBack"/>
      <w:bookmarkEnd w:id="0"/>
      <w:r w:rsidRPr="00D12307">
        <w:rPr>
          <w:rFonts w:ascii="Arial" w:hAnsi="Arial" w:cs="Arial"/>
          <w:b/>
          <w:lang w:val="en"/>
        </w:rPr>
        <w:t>Education, Health and Care Plan (EHCP) Risk Assessment</w:t>
      </w:r>
    </w:p>
    <w:p w:rsidR="002F2972" w:rsidRPr="002F2972" w:rsidRDefault="002F2972" w:rsidP="002F2972">
      <w:pPr>
        <w:rPr>
          <w:rFonts w:ascii="Arial" w:hAnsi="Arial" w:cs="Arial"/>
          <w:lang w:val="en"/>
        </w:rPr>
      </w:pPr>
      <w:r w:rsidRPr="002F2972">
        <w:rPr>
          <w:rFonts w:ascii="Arial" w:hAnsi="Arial" w:cs="Arial"/>
        </w:rPr>
        <w:t xml:space="preserve">Please read the </w:t>
      </w:r>
      <w:r w:rsidRPr="002F2972">
        <w:rPr>
          <w:rFonts w:ascii="Arial" w:hAnsi="Arial" w:cs="Arial"/>
          <w:lang w:val="en"/>
        </w:rPr>
        <w:t xml:space="preserve">Coronavirus (COVID-19): guidance on vulnerable children and young people (Department for Education / Department of Health 22/03/2020) </w:t>
      </w:r>
    </w:p>
    <w:p w:rsidR="002F2972" w:rsidRPr="002F2972" w:rsidRDefault="002F2972" w:rsidP="002F2972">
      <w:pPr>
        <w:rPr>
          <w:rFonts w:ascii="Arial" w:hAnsi="Arial" w:cs="Arial"/>
        </w:rPr>
      </w:pPr>
      <w:r w:rsidRPr="002F2972">
        <w:rPr>
          <w:rFonts w:ascii="Arial" w:hAnsi="Arial" w:cs="Arial"/>
          <w:lang w:val="en"/>
        </w:rPr>
        <w:t>Use this framework to determine</w:t>
      </w:r>
      <w:r w:rsidRPr="002F2972">
        <w:rPr>
          <w:rFonts w:ascii="Arial" w:hAnsi="Arial" w:cs="Arial"/>
        </w:rPr>
        <w:t>:</w:t>
      </w:r>
    </w:p>
    <w:p w:rsidR="00D12307" w:rsidRDefault="00D12307" w:rsidP="00D12307">
      <w:pPr>
        <w:pStyle w:val="NormalWeb"/>
        <w:numPr>
          <w:ilvl w:val="0"/>
          <w:numId w:val="2"/>
        </w:numPr>
        <w:spacing w:after="0" w:afterAutospacing="0"/>
        <w:rPr>
          <w:rFonts w:ascii="Arial" w:hAnsi="Arial" w:cs="Arial"/>
          <w:sz w:val="22"/>
          <w:szCs w:val="22"/>
          <w:lang w:val="en"/>
        </w:rPr>
      </w:pPr>
      <w:r w:rsidRPr="002F2972">
        <w:rPr>
          <w:rFonts w:ascii="Arial" w:hAnsi="Arial" w:cs="Arial"/>
          <w:sz w:val="22"/>
          <w:szCs w:val="22"/>
          <w:lang w:val="en"/>
        </w:rPr>
        <w:t>Children</w:t>
      </w:r>
      <w:r w:rsidR="002F2972" w:rsidRPr="002F2972">
        <w:rPr>
          <w:rFonts w:ascii="Arial" w:hAnsi="Arial" w:cs="Arial"/>
          <w:sz w:val="22"/>
          <w:szCs w:val="22"/>
          <w:lang w:val="en"/>
        </w:rPr>
        <w:t xml:space="preserve"> and young people who would be at </w:t>
      </w:r>
      <w:r w:rsidR="002F2972" w:rsidRPr="002F2972">
        <w:rPr>
          <w:rFonts w:ascii="Arial" w:hAnsi="Arial" w:cs="Arial"/>
          <w:b/>
          <w:sz w:val="22"/>
          <w:szCs w:val="22"/>
          <w:lang w:val="en"/>
        </w:rPr>
        <w:t>significant risk</w:t>
      </w:r>
      <w:r w:rsidR="002F2972" w:rsidRPr="002F2972">
        <w:rPr>
          <w:rFonts w:ascii="Arial" w:hAnsi="Arial" w:cs="Arial"/>
          <w:sz w:val="22"/>
          <w:szCs w:val="22"/>
          <w:lang w:val="en"/>
        </w:rPr>
        <w:t xml:space="preserve"> if their education, health and care provision and placement did not continue, namely </w:t>
      </w:r>
      <w:r w:rsidR="002F2972" w:rsidRPr="002F2972">
        <w:rPr>
          <w:rFonts w:ascii="Arial" w:hAnsi="Arial" w:cs="Arial"/>
          <w:b/>
          <w:sz w:val="22"/>
          <w:szCs w:val="22"/>
          <w:lang w:val="en"/>
        </w:rPr>
        <w:t>those who could not safely be supported at home</w:t>
      </w:r>
      <w:r w:rsidR="002F2972" w:rsidRPr="002F2972">
        <w:rPr>
          <w:rFonts w:ascii="Arial" w:hAnsi="Arial" w:cs="Arial"/>
          <w:sz w:val="22"/>
          <w:szCs w:val="22"/>
          <w:lang w:val="en"/>
        </w:rPr>
        <w:t xml:space="preserve">. This may include those with profound and multiple learning difficulties, and those receiving significant levels of personal care support. </w:t>
      </w:r>
      <w:r w:rsidR="002F2972">
        <w:rPr>
          <w:rFonts w:ascii="Arial" w:hAnsi="Arial" w:cs="Arial"/>
          <w:sz w:val="22"/>
          <w:szCs w:val="22"/>
          <w:lang w:val="en"/>
        </w:rPr>
        <w:t>North Lincolnshire Council</w:t>
      </w:r>
      <w:r w:rsidR="002F2972" w:rsidRPr="002F2972">
        <w:rPr>
          <w:rFonts w:ascii="Arial" w:hAnsi="Arial" w:cs="Arial"/>
          <w:sz w:val="22"/>
          <w:szCs w:val="22"/>
          <w:lang w:val="en"/>
        </w:rPr>
        <w:t xml:space="preserve"> will work with the individual’s educational setting – especially residential special schools and colleges – as well as local health partners, to ensure they are able to remain open wherever possible. This may mean deploying staff from other schools, to keep staffing ratios safe</w:t>
      </w:r>
    </w:p>
    <w:p w:rsidR="00D12307" w:rsidRDefault="00D12307" w:rsidP="00D12307">
      <w:pPr>
        <w:pStyle w:val="NormalWeb"/>
        <w:ind w:left="720"/>
        <w:rPr>
          <w:rFonts w:ascii="Arial" w:hAnsi="Arial" w:cs="Arial"/>
          <w:sz w:val="22"/>
          <w:szCs w:val="22"/>
          <w:lang w:val="en"/>
        </w:rPr>
      </w:pPr>
    </w:p>
    <w:p w:rsidR="002F2972" w:rsidRPr="00D12307" w:rsidRDefault="00D12307" w:rsidP="00D12307">
      <w:pPr>
        <w:pStyle w:val="NormalWeb"/>
        <w:numPr>
          <w:ilvl w:val="0"/>
          <w:numId w:val="2"/>
        </w:numPr>
        <w:spacing w:before="0" w:beforeAutospacing="0"/>
        <w:rPr>
          <w:rFonts w:ascii="Arial" w:hAnsi="Arial" w:cs="Arial"/>
          <w:sz w:val="22"/>
          <w:szCs w:val="22"/>
          <w:lang w:val="en"/>
        </w:rPr>
      </w:pPr>
      <w:r w:rsidRPr="00D12307">
        <w:rPr>
          <w:rFonts w:ascii="Arial" w:hAnsi="Arial" w:cs="Arial"/>
          <w:sz w:val="22"/>
          <w:szCs w:val="22"/>
          <w:lang w:val="en"/>
        </w:rPr>
        <w:t>Children</w:t>
      </w:r>
      <w:r w:rsidR="002F2972" w:rsidRPr="00D12307">
        <w:rPr>
          <w:rFonts w:ascii="Arial" w:hAnsi="Arial" w:cs="Arial"/>
          <w:sz w:val="22"/>
          <w:szCs w:val="22"/>
          <w:lang w:val="en"/>
        </w:rPr>
        <w:t xml:space="preserve"> and young people whose </w:t>
      </w:r>
      <w:r w:rsidR="002F2972" w:rsidRPr="00D12307">
        <w:rPr>
          <w:rFonts w:ascii="Arial" w:hAnsi="Arial" w:cs="Arial"/>
          <w:b/>
          <w:sz w:val="22"/>
          <w:szCs w:val="22"/>
          <w:lang w:val="en"/>
        </w:rPr>
        <w:t>needs can be met at home</w:t>
      </w:r>
      <w:r w:rsidR="002F2972" w:rsidRPr="00D12307">
        <w:rPr>
          <w:rFonts w:ascii="Arial" w:hAnsi="Arial" w:cs="Arial"/>
          <w:sz w:val="22"/>
          <w:szCs w:val="22"/>
          <w:lang w:val="en"/>
        </w:rPr>
        <w:t xml:space="preserve">, namely those who are not receiving personal care from their educational setting, or whose limited need for personal care can be met in their family home. As part of the government’s emergency powers, they will modify the statutory duties on local authorities to maintain the precise provision in EHC plans and will expect </w:t>
      </w:r>
      <w:r w:rsidR="002F2972" w:rsidRPr="00D12307">
        <w:rPr>
          <w:rFonts w:ascii="Arial" w:hAnsi="Arial" w:cs="Arial"/>
          <w:b/>
          <w:sz w:val="22"/>
          <w:szCs w:val="22"/>
          <w:lang w:val="en"/>
        </w:rPr>
        <w:t xml:space="preserve">educational settings and </w:t>
      </w:r>
      <w:r w:rsidR="00E22408" w:rsidRPr="00D12307">
        <w:rPr>
          <w:rFonts w:ascii="Arial" w:hAnsi="Arial" w:cs="Arial"/>
          <w:b/>
          <w:sz w:val="22"/>
          <w:szCs w:val="22"/>
          <w:lang w:val="en"/>
        </w:rPr>
        <w:t>North Lincolnshire Council</w:t>
      </w:r>
      <w:r w:rsidR="002F2972" w:rsidRPr="00D12307">
        <w:rPr>
          <w:rFonts w:ascii="Arial" w:hAnsi="Arial" w:cs="Arial"/>
          <w:sz w:val="22"/>
          <w:szCs w:val="22"/>
          <w:lang w:val="en"/>
        </w:rPr>
        <w:t xml:space="preserve"> to use their</w:t>
      </w:r>
      <w:r w:rsidR="002F2972" w:rsidRPr="00D12307">
        <w:rPr>
          <w:rFonts w:ascii="Arial" w:hAnsi="Arial" w:cs="Arial"/>
          <w:b/>
          <w:sz w:val="22"/>
          <w:szCs w:val="22"/>
          <w:lang w:val="en"/>
        </w:rPr>
        <w:t xml:space="preserve"> reasonable endeavours</w:t>
      </w:r>
      <w:r w:rsidR="002F2972" w:rsidRPr="00D12307">
        <w:rPr>
          <w:rFonts w:ascii="Arial" w:hAnsi="Arial" w:cs="Arial"/>
          <w:sz w:val="22"/>
          <w:szCs w:val="22"/>
          <w:lang w:val="en"/>
        </w:rPr>
        <w:t xml:space="preserve"> to support these children and their families</w:t>
      </w:r>
    </w:p>
    <w:tbl>
      <w:tblPr>
        <w:tblStyle w:val="TableGrid"/>
        <w:tblW w:w="14170" w:type="dxa"/>
        <w:tblLook w:val="04A0" w:firstRow="1" w:lastRow="0" w:firstColumn="1" w:lastColumn="0" w:noHBand="0" w:noVBand="1"/>
      </w:tblPr>
      <w:tblGrid>
        <w:gridCol w:w="2428"/>
        <w:gridCol w:w="2245"/>
        <w:gridCol w:w="1701"/>
        <w:gridCol w:w="1843"/>
        <w:gridCol w:w="3827"/>
        <w:gridCol w:w="2126"/>
      </w:tblGrid>
      <w:tr w:rsidR="00A4277B" w:rsidRPr="002F2972" w:rsidTr="00A4277B">
        <w:trPr>
          <w:trHeight w:val="660"/>
        </w:trPr>
        <w:tc>
          <w:tcPr>
            <w:tcW w:w="2428" w:type="dxa"/>
          </w:tcPr>
          <w:p w:rsidR="00A4277B" w:rsidRPr="00A4277B" w:rsidRDefault="00A4277B" w:rsidP="00321565">
            <w:pPr>
              <w:spacing w:before="100" w:beforeAutospacing="1" w:after="100" w:afterAutospacing="1"/>
              <w:rPr>
                <w:rFonts w:ascii="Arial" w:hAnsi="Arial" w:cs="Arial"/>
                <w:b/>
                <w:lang w:val="en"/>
              </w:rPr>
            </w:pPr>
            <w:r w:rsidRPr="00A4277B">
              <w:rPr>
                <w:rFonts w:ascii="Arial" w:hAnsi="Arial" w:cs="Arial"/>
                <w:b/>
                <w:lang w:val="en"/>
              </w:rPr>
              <w:t>Name</w:t>
            </w:r>
          </w:p>
          <w:p w:rsidR="00A4277B" w:rsidRPr="00A4277B" w:rsidRDefault="00A4277B" w:rsidP="00321565">
            <w:pPr>
              <w:spacing w:before="100" w:beforeAutospacing="1" w:after="100" w:afterAutospacing="1"/>
              <w:rPr>
                <w:rFonts w:ascii="Arial" w:hAnsi="Arial" w:cs="Arial"/>
                <w:b/>
                <w:lang w:val="en"/>
              </w:rPr>
            </w:pPr>
            <w:r w:rsidRPr="00A4277B">
              <w:rPr>
                <w:rFonts w:ascii="Arial" w:hAnsi="Arial" w:cs="Arial"/>
                <w:b/>
                <w:lang w:val="en"/>
              </w:rPr>
              <w:t>Date</w:t>
            </w:r>
          </w:p>
          <w:p w:rsidR="00A4277B" w:rsidRPr="002F2972" w:rsidRDefault="00A4277B" w:rsidP="00321565">
            <w:pPr>
              <w:spacing w:before="100" w:beforeAutospacing="1" w:after="100" w:afterAutospacing="1"/>
              <w:rPr>
                <w:rFonts w:ascii="Arial" w:hAnsi="Arial" w:cs="Arial"/>
                <w:lang w:val="en"/>
              </w:rPr>
            </w:pPr>
          </w:p>
        </w:tc>
        <w:tc>
          <w:tcPr>
            <w:tcW w:w="2245" w:type="dxa"/>
            <w:vMerge w:val="restart"/>
          </w:tcPr>
          <w:p w:rsidR="00A4277B" w:rsidRPr="002F2972" w:rsidRDefault="00A4277B" w:rsidP="00321565">
            <w:pPr>
              <w:rPr>
                <w:rFonts w:ascii="Arial" w:hAnsi="Arial" w:cs="Arial"/>
              </w:rPr>
            </w:pPr>
            <w:r>
              <w:rPr>
                <w:rFonts w:ascii="Arial" w:hAnsi="Arial" w:cs="Arial"/>
              </w:rPr>
              <w:t>Who has been involved in reviewing the evidence and making a decision?</w:t>
            </w:r>
          </w:p>
        </w:tc>
        <w:tc>
          <w:tcPr>
            <w:tcW w:w="1701" w:type="dxa"/>
            <w:vMerge w:val="restart"/>
          </w:tcPr>
          <w:p w:rsidR="00A4277B" w:rsidRPr="002F2972" w:rsidRDefault="00A4277B" w:rsidP="00321565">
            <w:pPr>
              <w:rPr>
                <w:rFonts w:ascii="Arial" w:hAnsi="Arial" w:cs="Arial"/>
              </w:rPr>
            </w:pPr>
            <w:r>
              <w:rPr>
                <w:rFonts w:ascii="Arial" w:hAnsi="Arial" w:cs="Arial"/>
              </w:rPr>
              <w:t>Evidence</w:t>
            </w:r>
          </w:p>
        </w:tc>
        <w:tc>
          <w:tcPr>
            <w:tcW w:w="1843" w:type="dxa"/>
            <w:vMerge w:val="restart"/>
          </w:tcPr>
          <w:p w:rsidR="00A4277B" w:rsidRPr="002F2972" w:rsidRDefault="00A4277B" w:rsidP="00321565">
            <w:pPr>
              <w:rPr>
                <w:rFonts w:ascii="Arial" w:hAnsi="Arial" w:cs="Arial"/>
              </w:rPr>
            </w:pPr>
            <w:r w:rsidRPr="002F2972">
              <w:rPr>
                <w:rFonts w:ascii="Arial" w:hAnsi="Arial" w:cs="Arial"/>
              </w:rPr>
              <w:t>Decision – remain in education or remain at home</w:t>
            </w:r>
            <w:r>
              <w:rPr>
                <w:rFonts w:ascii="Arial" w:hAnsi="Arial" w:cs="Arial"/>
              </w:rPr>
              <w:t>?</w:t>
            </w:r>
          </w:p>
        </w:tc>
        <w:tc>
          <w:tcPr>
            <w:tcW w:w="3827" w:type="dxa"/>
            <w:vMerge w:val="restart"/>
          </w:tcPr>
          <w:p w:rsidR="00A4277B" w:rsidRPr="002F2972" w:rsidRDefault="00A4277B" w:rsidP="00321565">
            <w:pPr>
              <w:rPr>
                <w:rFonts w:ascii="Arial" w:hAnsi="Arial" w:cs="Arial"/>
              </w:rPr>
            </w:pPr>
            <w:r w:rsidRPr="002F2972">
              <w:rPr>
                <w:rFonts w:ascii="Arial" w:hAnsi="Arial" w:cs="Arial"/>
              </w:rPr>
              <w:t>Support needed</w:t>
            </w:r>
          </w:p>
        </w:tc>
        <w:tc>
          <w:tcPr>
            <w:tcW w:w="2126" w:type="dxa"/>
            <w:vMerge w:val="restart"/>
          </w:tcPr>
          <w:p w:rsidR="00A4277B" w:rsidRPr="002F2972" w:rsidRDefault="00A4277B" w:rsidP="00321565">
            <w:pPr>
              <w:rPr>
                <w:rFonts w:ascii="Arial" w:hAnsi="Arial" w:cs="Arial"/>
              </w:rPr>
            </w:pPr>
            <w:r w:rsidRPr="002F2972">
              <w:rPr>
                <w:rFonts w:ascii="Arial" w:hAnsi="Arial" w:cs="Arial"/>
              </w:rPr>
              <w:t>Update</w:t>
            </w:r>
            <w:r>
              <w:rPr>
                <w:rFonts w:ascii="Arial" w:hAnsi="Arial" w:cs="Arial"/>
              </w:rPr>
              <w:t xml:space="preserve"> </w:t>
            </w:r>
            <w:r w:rsidRPr="002F2972">
              <w:rPr>
                <w:rFonts w:ascii="Arial" w:hAnsi="Arial" w:cs="Arial"/>
              </w:rPr>
              <w:t>/ review</w:t>
            </w:r>
          </w:p>
        </w:tc>
      </w:tr>
      <w:tr w:rsidR="00A4277B" w:rsidRPr="002F2972" w:rsidTr="00603727">
        <w:trPr>
          <w:trHeight w:val="660"/>
        </w:trPr>
        <w:tc>
          <w:tcPr>
            <w:tcW w:w="2428" w:type="dxa"/>
          </w:tcPr>
          <w:p w:rsidR="00A4277B" w:rsidRDefault="00A4277B" w:rsidP="00321565">
            <w:pPr>
              <w:spacing w:before="100" w:beforeAutospacing="1" w:after="100" w:afterAutospacing="1"/>
              <w:rPr>
                <w:rFonts w:ascii="Arial" w:hAnsi="Arial" w:cs="Arial"/>
                <w:lang w:val="en"/>
              </w:rPr>
            </w:pPr>
          </w:p>
          <w:p w:rsidR="00A4277B" w:rsidRDefault="00A4277B" w:rsidP="00321565">
            <w:pPr>
              <w:spacing w:before="100" w:beforeAutospacing="1" w:after="100" w:afterAutospacing="1"/>
              <w:rPr>
                <w:rFonts w:ascii="Arial" w:hAnsi="Arial" w:cs="Arial"/>
                <w:lang w:val="en"/>
              </w:rPr>
            </w:pPr>
            <w:r>
              <w:rPr>
                <w:rFonts w:ascii="Arial" w:hAnsi="Arial" w:cs="Arial"/>
                <w:lang w:val="en"/>
              </w:rPr>
              <w:t>Risk</w:t>
            </w:r>
          </w:p>
        </w:tc>
        <w:tc>
          <w:tcPr>
            <w:tcW w:w="2245" w:type="dxa"/>
            <w:vMerge/>
          </w:tcPr>
          <w:p w:rsidR="00A4277B" w:rsidRDefault="00A4277B" w:rsidP="00321565">
            <w:pPr>
              <w:rPr>
                <w:rFonts w:ascii="Arial" w:hAnsi="Arial" w:cs="Arial"/>
              </w:rPr>
            </w:pPr>
          </w:p>
        </w:tc>
        <w:tc>
          <w:tcPr>
            <w:tcW w:w="1701" w:type="dxa"/>
            <w:vMerge/>
          </w:tcPr>
          <w:p w:rsidR="00A4277B" w:rsidRDefault="00A4277B" w:rsidP="00321565">
            <w:pPr>
              <w:rPr>
                <w:rFonts w:ascii="Arial" w:hAnsi="Arial" w:cs="Arial"/>
              </w:rPr>
            </w:pPr>
          </w:p>
        </w:tc>
        <w:tc>
          <w:tcPr>
            <w:tcW w:w="1843" w:type="dxa"/>
            <w:vMerge/>
          </w:tcPr>
          <w:p w:rsidR="00A4277B" w:rsidRPr="002F2972" w:rsidRDefault="00A4277B" w:rsidP="00321565">
            <w:pPr>
              <w:rPr>
                <w:rFonts w:ascii="Arial" w:hAnsi="Arial" w:cs="Arial"/>
              </w:rPr>
            </w:pPr>
          </w:p>
        </w:tc>
        <w:tc>
          <w:tcPr>
            <w:tcW w:w="3827" w:type="dxa"/>
            <w:vMerge/>
          </w:tcPr>
          <w:p w:rsidR="00A4277B" w:rsidRPr="002F2972" w:rsidRDefault="00A4277B" w:rsidP="00321565">
            <w:pPr>
              <w:rPr>
                <w:rFonts w:ascii="Arial" w:hAnsi="Arial" w:cs="Arial"/>
              </w:rPr>
            </w:pPr>
          </w:p>
        </w:tc>
        <w:tc>
          <w:tcPr>
            <w:tcW w:w="2126" w:type="dxa"/>
            <w:vMerge/>
          </w:tcPr>
          <w:p w:rsidR="00A4277B" w:rsidRPr="002F2972" w:rsidRDefault="00A4277B" w:rsidP="00321565">
            <w:pPr>
              <w:rPr>
                <w:rFonts w:ascii="Arial" w:hAnsi="Arial" w:cs="Arial"/>
              </w:rPr>
            </w:pPr>
          </w:p>
        </w:tc>
      </w:tr>
      <w:tr w:rsidR="00603727" w:rsidRPr="002F2972" w:rsidTr="00603727">
        <w:tc>
          <w:tcPr>
            <w:tcW w:w="2428" w:type="dxa"/>
          </w:tcPr>
          <w:p w:rsidR="00603727" w:rsidRPr="002F2972" w:rsidRDefault="00603727" w:rsidP="00D12307">
            <w:pPr>
              <w:spacing w:before="100" w:beforeAutospacing="1" w:after="100" w:afterAutospacing="1"/>
              <w:rPr>
                <w:rFonts w:ascii="Arial" w:hAnsi="Arial" w:cs="Arial"/>
                <w:lang w:val="en"/>
              </w:rPr>
            </w:pPr>
            <w:r w:rsidRPr="002F2972">
              <w:rPr>
                <w:rFonts w:ascii="Arial" w:hAnsi="Arial" w:cs="Arial"/>
                <w:lang w:val="en"/>
              </w:rPr>
              <w:t>A</w:t>
            </w:r>
          </w:p>
          <w:p w:rsidR="00603727" w:rsidRDefault="00603727" w:rsidP="00D12307">
            <w:pPr>
              <w:spacing w:before="100" w:beforeAutospacing="1" w:after="100" w:afterAutospacing="1"/>
              <w:rPr>
                <w:rFonts w:ascii="Arial" w:hAnsi="Arial" w:cs="Arial"/>
                <w:lang w:val="en"/>
              </w:rPr>
            </w:pPr>
            <w:r>
              <w:rPr>
                <w:rFonts w:ascii="Arial" w:hAnsi="Arial" w:cs="Arial"/>
                <w:lang w:val="en"/>
              </w:rPr>
              <w:t>T</w:t>
            </w:r>
            <w:r w:rsidRPr="002F2972">
              <w:rPr>
                <w:rFonts w:ascii="Arial" w:hAnsi="Arial" w:cs="Arial"/>
                <w:lang w:val="en"/>
              </w:rPr>
              <w:t xml:space="preserve">he potential health risks to the individual from COVID-19, bearing in mind any </w:t>
            </w:r>
            <w:r w:rsidRPr="002F2972">
              <w:rPr>
                <w:rFonts w:ascii="Arial" w:hAnsi="Arial" w:cs="Arial"/>
                <w:lang w:val="en"/>
              </w:rPr>
              <w:lastRenderedPageBreak/>
              <w:t xml:space="preserve">underlying health conditions. </w:t>
            </w:r>
          </w:p>
          <w:p w:rsidR="00603727" w:rsidRPr="002F2972" w:rsidRDefault="00603727" w:rsidP="00D12307">
            <w:pPr>
              <w:spacing w:before="100" w:beforeAutospacing="1" w:after="100" w:afterAutospacing="1"/>
              <w:rPr>
                <w:rFonts w:ascii="Arial" w:hAnsi="Arial" w:cs="Arial"/>
                <w:lang w:val="en"/>
              </w:rPr>
            </w:pPr>
            <w:r w:rsidRPr="002F2972">
              <w:rPr>
                <w:rFonts w:ascii="Arial" w:hAnsi="Arial" w:cs="Arial"/>
                <w:lang w:val="en"/>
              </w:rPr>
              <w:t>This must be on an individual basis with advice from an appropriate health professional where required</w:t>
            </w:r>
          </w:p>
        </w:tc>
        <w:tc>
          <w:tcPr>
            <w:tcW w:w="2245" w:type="dxa"/>
          </w:tcPr>
          <w:p w:rsidR="00603727" w:rsidRPr="002F2972" w:rsidRDefault="00603727" w:rsidP="00321565">
            <w:pPr>
              <w:rPr>
                <w:rFonts w:ascii="Arial" w:hAnsi="Arial" w:cs="Arial"/>
              </w:rPr>
            </w:pPr>
          </w:p>
        </w:tc>
        <w:tc>
          <w:tcPr>
            <w:tcW w:w="1701" w:type="dxa"/>
          </w:tcPr>
          <w:p w:rsidR="00603727" w:rsidRPr="002F2972" w:rsidRDefault="00603727" w:rsidP="00321565">
            <w:pPr>
              <w:rPr>
                <w:rFonts w:ascii="Arial" w:hAnsi="Arial" w:cs="Arial"/>
              </w:rPr>
            </w:pPr>
          </w:p>
        </w:tc>
        <w:tc>
          <w:tcPr>
            <w:tcW w:w="1843" w:type="dxa"/>
          </w:tcPr>
          <w:p w:rsidR="00603727" w:rsidRPr="002F2972" w:rsidRDefault="00603727" w:rsidP="00321565">
            <w:pPr>
              <w:rPr>
                <w:rFonts w:ascii="Arial" w:hAnsi="Arial" w:cs="Arial"/>
              </w:rPr>
            </w:pPr>
          </w:p>
        </w:tc>
        <w:tc>
          <w:tcPr>
            <w:tcW w:w="3827" w:type="dxa"/>
          </w:tcPr>
          <w:p w:rsidR="00603727" w:rsidRPr="002F2972" w:rsidRDefault="00603727" w:rsidP="00321565">
            <w:pPr>
              <w:rPr>
                <w:rFonts w:ascii="Arial" w:hAnsi="Arial" w:cs="Arial"/>
              </w:rPr>
            </w:pPr>
          </w:p>
        </w:tc>
        <w:tc>
          <w:tcPr>
            <w:tcW w:w="2126" w:type="dxa"/>
          </w:tcPr>
          <w:p w:rsidR="00603727" w:rsidRPr="002F2972" w:rsidRDefault="00603727" w:rsidP="00321565">
            <w:pPr>
              <w:rPr>
                <w:rFonts w:ascii="Arial" w:hAnsi="Arial" w:cs="Arial"/>
              </w:rPr>
            </w:pPr>
          </w:p>
        </w:tc>
      </w:tr>
      <w:tr w:rsidR="00603727" w:rsidRPr="002F2972" w:rsidTr="00603727">
        <w:tc>
          <w:tcPr>
            <w:tcW w:w="2428" w:type="dxa"/>
          </w:tcPr>
          <w:p w:rsidR="00603727" w:rsidRPr="002F2972" w:rsidRDefault="00603727" w:rsidP="00D12307">
            <w:pPr>
              <w:spacing w:before="100" w:beforeAutospacing="1" w:after="100" w:afterAutospacing="1"/>
              <w:rPr>
                <w:rFonts w:ascii="Arial" w:hAnsi="Arial" w:cs="Arial"/>
                <w:lang w:val="en"/>
              </w:rPr>
            </w:pPr>
            <w:r w:rsidRPr="002F2972">
              <w:rPr>
                <w:rFonts w:ascii="Arial" w:hAnsi="Arial" w:cs="Arial"/>
                <w:lang w:val="en"/>
              </w:rPr>
              <w:t>B</w:t>
            </w:r>
          </w:p>
          <w:p w:rsidR="00603727" w:rsidRPr="002F2972" w:rsidRDefault="00603727" w:rsidP="00D12307">
            <w:pPr>
              <w:spacing w:before="100" w:beforeAutospacing="1" w:after="100" w:afterAutospacing="1"/>
              <w:rPr>
                <w:rFonts w:ascii="Arial" w:hAnsi="Arial" w:cs="Arial"/>
                <w:lang w:val="en"/>
              </w:rPr>
            </w:pPr>
            <w:r>
              <w:rPr>
                <w:rFonts w:ascii="Arial" w:hAnsi="Arial" w:cs="Arial"/>
                <w:lang w:val="en"/>
              </w:rPr>
              <w:t>T</w:t>
            </w:r>
            <w:r w:rsidRPr="002F2972">
              <w:rPr>
                <w:rFonts w:ascii="Arial" w:hAnsi="Arial" w:cs="Arial"/>
                <w:lang w:val="en"/>
              </w:rPr>
              <w:t>he risk to the individual if some or all elements of their EHC plan cannot be delivered at all, and the risk if they cannot be delivered in the normal manner or in the usual setting</w:t>
            </w:r>
          </w:p>
        </w:tc>
        <w:tc>
          <w:tcPr>
            <w:tcW w:w="2245" w:type="dxa"/>
          </w:tcPr>
          <w:p w:rsidR="00603727" w:rsidRPr="002F2972" w:rsidRDefault="00603727" w:rsidP="00321565">
            <w:pPr>
              <w:rPr>
                <w:rFonts w:ascii="Arial" w:hAnsi="Arial" w:cs="Arial"/>
              </w:rPr>
            </w:pPr>
          </w:p>
        </w:tc>
        <w:tc>
          <w:tcPr>
            <w:tcW w:w="1701" w:type="dxa"/>
          </w:tcPr>
          <w:p w:rsidR="00603727" w:rsidRPr="002F2972" w:rsidRDefault="00603727" w:rsidP="00321565">
            <w:pPr>
              <w:rPr>
                <w:rFonts w:ascii="Arial" w:hAnsi="Arial" w:cs="Arial"/>
              </w:rPr>
            </w:pPr>
          </w:p>
        </w:tc>
        <w:tc>
          <w:tcPr>
            <w:tcW w:w="1843" w:type="dxa"/>
          </w:tcPr>
          <w:p w:rsidR="00603727" w:rsidRPr="002F2972" w:rsidRDefault="00603727" w:rsidP="00321565">
            <w:pPr>
              <w:rPr>
                <w:rFonts w:ascii="Arial" w:hAnsi="Arial" w:cs="Arial"/>
              </w:rPr>
            </w:pPr>
          </w:p>
        </w:tc>
        <w:tc>
          <w:tcPr>
            <w:tcW w:w="3827" w:type="dxa"/>
          </w:tcPr>
          <w:p w:rsidR="00603727" w:rsidRPr="002F2972" w:rsidRDefault="00603727" w:rsidP="00321565">
            <w:pPr>
              <w:rPr>
                <w:rFonts w:ascii="Arial" w:hAnsi="Arial" w:cs="Arial"/>
              </w:rPr>
            </w:pPr>
          </w:p>
        </w:tc>
        <w:tc>
          <w:tcPr>
            <w:tcW w:w="2126" w:type="dxa"/>
          </w:tcPr>
          <w:p w:rsidR="00603727" w:rsidRPr="002F2972" w:rsidRDefault="00603727" w:rsidP="00321565">
            <w:pPr>
              <w:rPr>
                <w:rFonts w:ascii="Arial" w:hAnsi="Arial" w:cs="Arial"/>
              </w:rPr>
            </w:pPr>
          </w:p>
        </w:tc>
      </w:tr>
      <w:tr w:rsidR="00603727" w:rsidRPr="002F2972" w:rsidTr="00603727">
        <w:tc>
          <w:tcPr>
            <w:tcW w:w="2428" w:type="dxa"/>
          </w:tcPr>
          <w:p w:rsidR="00603727" w:rsidRPr="002F2972" w:rsidRDefault="00603727" w:rsidP="002F2972">
            <w:pPr>
              <w:spacing w:before="100" w:beforeAutospacing="1" w:after="100" w:afterAutospacing="1"/>
              <w:rPr>
                <w:rFonts w:ascii="Arial" w:hAnsi="Arial" w:cs="Arial"/>
                <w:lang w:val="en"/>
              </w:rPr>
            </w:pPr>
            <w:r w:rsidRPr="002F2972">
              <w:rPr>
                <w:rFonts w:ascii="Arial" w:hAnsi="Arial" w:cs="Arial"/>
                <w:lang w:val="en"/>
              </w:rPr>
              <w:t>C</w:t>
            </w:r>
          </w:p>
          <w:p w:rsidR="00603727" w:rsidRPr="002F2972" w:rsidRDefault="00603727" w:rsidP="002F2972">
            <w:pPr>
              <w:spacing w:before="100" w:beforeAutospacing="1" w:after="100" w:afterAutospacing="1"/>
              <w:rPr>
                <w:rFonts w:ascii="Arial" w:hAnsi="Arial" w:cs="Arial"/>
                <w:lang w:val="en"/>
              </w:rPr>
            </w:pPr>
            <w:r>
              <w:rPr>
                <w:rFonts w:ascii="Arial" w:hAnsi="Arial" w:cs="Arial"/>
                <w:lang w:val="en"/>
              </w:rPr>
              <w:t>T</w:t>
            </w:r>
            <w:r w:rsidRPr="002F2972">
              <w:rPr>
                <w:rFonts w:ascii="Arial" w:hAnsi="Arial" w:cs="Arial"/>
                <w:lang w:val="en"/>
              </w:rPr>
              <w:t>he ability of the individual’s parents or home to ensure their health and care needs can be met safely</w:t>
            </w:r>
          </w:p>
        </w:tc>
        <w:tc>
          <w:tcPr>
            <w:tcW w:w="2245" w:type="dxa"/>
          </w:tcPr>
          <w:p w:rsidR="00603727" w:rsidRPr="002F2972" w:rsidRDefault="00603727" w:rsidP="00321565">
            <w:pPr>
              <w:rPr>
                <w:rFonts w:ascii="Arial" w:hAnsi="Arial" w:cs="Arial"/>
              </w:rPr>
            </w:pPr>
          </w:p>
        </w:tc>
        <w:tc>
          <w:tcPr>
            <w:tcW w:w="1701" w:type="dxa"/>
          </w:tcPr>
          <w:p w:rsidR="00603727" w:rsidRPr="002F2972" w:rsidRDefault="00603727" w:rsidP="00321565">
            <w:pPr>
              <w:rPr>
                <w:rFonts w:ascii="Arial" w:hAnsi="Arial" w:cs="Arial"/>
              </w:rPr>
            </w:pPr>
          </w:p>
        </w:tc>
        <w:tc>
          <w:tcPr>
            <w:tcW w:w="1843" w:type="dxa"/>
          </w:tcPr>
          <w:p w:rsidR="00603727" w:rsidRPr="002F2972" w:rsidRDefault="00603727" w:rsidP="00321565">
            <w:pPr>
              <w:rPr>
                <w:rFonts w:ascii="Arial" w:hAnsi="Arial" w:cs="Arial"/>
              </w:rPr>
            </w:pPr>
          </w:p>
        </w:tc>
        <w:tc>
          <w:tcPr>
            <w:tcW w:w="3827" w:type="dxa"/>
          </w:tcPr>
          <w:p w:rsidR="00603727" w:rsidRPr="002F2972" w:rsidRDefault="00603727" w:rsidP="00321565">
            <w:pPr>
              <w:rPr>
                <w:rFonts w:ascii="Arial" w:hAnsi="Arial" w:cs="Arial"/>
              </w:rPr>
            </w:pPr>
          </w:p>
        </w:tc>
        <w:tc>
          <w:tcPr>
            <w:tcW w:w="2126" w:type="dxa"/>
          </w:tcPr>
          <w:p w:rsidR="00603727" w:rsidRPr="002F2972" w:rsidRDefault="00603727" w:rsidP="00321565">
            <w:pPr>
              <w:rPr>
                <w:rFonts w:ascii="Arial" w:hAnsi="Arial" w:cs="Arial"/>
              </w:rPr>
            </w:pPr>
          </w:p>
        </w:tc>
      </w:tr>
      <w:tr w:rsidR="00603727" w:rsidRPr="002F2972" w:rsidTr="00603727">
        <w:tc>
          <w:tcPr>
            <w:tcW w:w="2428" w:type="dxa"/>
          </w:tcPr>
          <w:p w:rsidR="00603727" w:rsidRPr="002F2972" w:rsidRDefault="00603727" w:rsidP="002F2972">
            <w:pPr>
              <w:spacing w:before="100" w:beforeAutospacing="1" w:after="100" w:afterAutospacing="1"/>
              <w:rPr>
                <w:rFonts w:ascii="Arial" w:hAnsi="Arial" w:cs="Arial"/>
                <w:lang w:val="en"/>
              </w:rPr>
            </w:pPr>
            <w:r w:rsidRPr="002F2972">
              <w:rPr>
                <w:rFonts w:ascii="Arial" w:hAnsi="Arial" w:cs="Arial"/>
                <w:lang w:val="en"/>
              </w:rPr>
              <w:t>D</w:t>
            </w:r>
          </w:p>
          <w:p w:rsidR="00603727" w:rsidRPr="002F2972" w:rsidRDefault="00603727" w:rsidP="002F2972">
            <w:pPr>
              <w:spacing w:before="100" w:beforeAutospacing="1" w:after="100" w:afterAutospacing="1"/>
              <w:rPr>
                <w:rFonts w:ascii="Arial" w:hAnsi="Arial" w:cs="Arial"/>
                <w:lang w:val="en"/>
              </w:rPr>
            </w:pPr>
            <w:r>
              <w:rPr>
                <w:rFonts w:ascii="Arial" w:hAnsi="Arial" w:cs="Arial"/>
                <w:lang w:val="en"/>
              </w:rPr>
              <w:t>T</w:t>
            </w:r>
            <w:r w:rsidRPr="002F2972">
              <w:rPr>
                <w:rFonts w:ascii="Arial" w:hAnsi="Arial" w:cs="Arial"/>
                <w:lang w:val="en"/>
              </w:rPr>
              <w:t>he potential impact to the individual’s wellbeing of changes to routine or the way in which provision is delivered</w:t>
            </w:r>
          </w:p>
        </w:tc>
        <w:tc>
          <w:tcPr>
            <w:tcW w:w="2245" w:type="dxa"/>
          </w:tcPr>
          <w:p w:rsidR="00603727" w:rsidRPr="002F2972" w:rsidRDefault="00603727" w:rsidP="00321565">
            <w:pPr>
              <w:rPr>
                <w:rFonts w:ascii="Arial" w:hAnsi="Arial" w:cs="Arial"/>
              </w:rPr>
            </w:pPr>
          </w:p>
        </w:tc>
        <w:tc>
          <w:tcPr>
            <w:tcW w:w="1701" w:type="dxa"/>
          </w:tcPr>
          <w:p w:rsidR="00603727" w:rsidRPr="002F2972" w:rsidRDefault="00603727" w:rsidP="00321565">
            <w:pPr>
              <w:rPr>
                <w:rFonts w:ascii="Arial" w:hAnsi="Arial" w:cs="Arial"/>
              </w:rPr>
            </w:pPr>
          </w:p>
        </w:tc>
        <w:tc>
          <w:tcPr>
            <w:tcW w:w="1843" w:type="dxa"/>
          </w:tcPr>
          <w:p w:rsidR="00603727" w:rsidRPr="002F2972" w:rsidRDefault="00603727" w:rsidP="00321565">
            <w:pPr>
              <w:rPr>
                <w:rFonts w:ascii="Arial" w:hAnsi="Arial" w:cs="Arial"/>
              </w:rPr>
            </w:pPr>
          </w:p>
        </w:tc>
        <w:tc>
          <w:tcPr>
            <w:tcW w:w="3827" w:type="dxa"/>
          </w:tcPr>
          <w:p w:rsidR="00603727" w:rsidRPr="002F2972" w:rsidRDefault="00603727" w:rsidP="00321565">
            <w:pPr>
              <w:rPr>
                <w:rFonts w:ascii="Arial" w:hAnsi="Arial" w:cs="Arial"/>
              </w:rPr>
            </w:pPr>
          </w:p>
        </w:tc>
        <w:tc>
          <w:tcPr>
            <w:tcW w:w="2126" w:type="dxa"/>
          </w:tcPr>
          <w:p w:rsidR="00603727" w:rsidRPr="002F2972" w:rsidRDefault="00603727" w:rsidP="00321565">
            <w:pPr>
              <w:rPr>
                <w:rFonts w:ascii="Arial" w:hAnsi="Arial" w:cs="Arial"/>
              </w:rPr>
            </w:pPr>
          </w:p>
        </w:tc>
      </w:tr>
      <w:tr w:rsidR="007A6222" w:rsidRPr="002F2972" w:rsidTr="00603727">
        <w:tc>
          <w:tcPr>
            <w:tcW w:w="2428" w:type="dxa"/>
          </w:tcPr>
          <w:p w:rsidR="007A6222" w:rsidRDefault="007A6222" w:rsidP="002F2972">
            <w:pPr>
              <w:spacing w:before="100" w:beforeAutospacing="1" w:after="100" w:afterAutospacing="1"/>
              <w:rPr>
                <w:rFonts w:ascii="Arial" w:hAnsi="Arial" w:cs="Arial"/>
                <w:lang w:val="en"/>
              </w:rPr>
            </w:pPr>
            <w:r>
              <w:rPr>
                <w:rFonts w:ascii="Arial" w:hAnsi="Arial" w:cs="Arial"/>
                <w:lang w:val="en"/>
              </w:rPr>
              <w:lastRenderedPageBreak/>
              <w:t>E</w:t>
            </w:r>
          </w:p>
          <w:p w:rsidR="007A6222" w:rsidRDefault="007A6222" w:rsidP="002F2972">
            <w:pPr>
              <w:spacing w:before="100" w:beforeAutospacing="1" w:after="100" w:afterAutospacing="1"/>
              <w:rPr>
                <w:rFonts w:ascii="Arial" w:hAnsi="Arial" w:cs="Arial"/>
                <w:lang w:val="en"/>
              </w:rPr>
            </w:pPr>
            <w:r>
              <w:rPr>
                <w:lang w:val="en"/>
              </w:rPr>
              <w:t>Any out-of-school or college risk or vulnerability. For example, a child or young person becoming involved in dangerous behaviour or situations or requiring support from a social worker. This applies to those whose needs are best met in educational settings, particularly in order to stop a care placement breakdown</w:t>
            </w:r>
          </w:p>
          <w:p w:rsidR="007A6222" w:rsidRPr="002F2972" w:rsidRDefault="007A6222" w:rsidP="002F2972">
            <w:pPr>
              <w:spacing w:before="100" w:beforeAutospacing="1" w:after="100" w:afterAutospacing="1"/>
              <w:rPr>
                <w:rFonts w:ascii="Arial" w:hAnsi="Arial" w:cs="Arial"/>
                <w:lang w:val="en"/>
              </w:rPr>
            </w:pPr>
          </w:p>
        </w:tc>
        <w:tc>
          <w:tcPr>
            <w:tcW w:w="2245" w:type="dxa"/>
          </w:tcPr>
          <w:p w:rsidR="007A6222" w:rsidRPr="002F2972" w:rsidRDefault="007A6222" w:rsidP="00321565">
            <w:pPr>
              <w:rPr>
                <w:rFonts w:ascii="Arial" w:hAnsi="Arial" w:cs="Arial"/>
              </w:rPr>
            </w:pPr>
          </w:p>
        </w:tc>
        <w:tc>
          <w:tcPr>
            <w:tcW w:w="1701" w:type="dxa"/>
          </w:tcPr>
          <w:p w:rsidR="007A6222" w:rsidRPr="002F2972" w:rsidRDefault="007A6222" w:rsidP="00321565">
            <w:pPr>
              <w:rPr>
                <w:rFonts w:ascii="Arial" w:hAnsi="Arial" w:cs="Arial"/>
              </w:rPr>
            </w:pPr>
          </w:p>
        </w:tc>
        <w:tc>
          <w:tcPr>
            <w:tcW w:w="1843" w:type="dxa"/>
          </w:tcPr>
          <w:p w:rsidR="007A6222" w:rsidRPr="002F2972" w:rsidRDefault="007A6222" w:rsidP="00321565">
            <w:pPr>
              <w:rPr>
                <w:rFonts w:ascii="Arial" w:hAnsi="Arial" w:cs="Arial"/>
              </w:rPr>
            </w:pPr>
          </w:p>
        </w:tc>
        <w:tc>
          <w:tcPr>
            <w:tcW w:w="3827" w:type="dxa"/>
          </w:tcPr>
          <w:p w:rsidR="007A6222" w:rsidRPr="002F2972" w:rsidRDefault="007A6222" w:rsidP="00321565">
            <w:pPr>
              <w:rPr>
                <w:rFonts w:ascii="Arial" w:hAnsi="Arial" w:cs="Arial"/>
              </w:rPr>
            </w:pPr>
          </w:p>
        </w:tc>
        <w:tc>
          <w:tcPr>
            <w:tcW w:w="2126" w:type="dxa"/>
          </w:tcPr>
          <w:p w:rsidR="007A6222" w:rsidRPr="002F2972" w:rsidRDefault="007A6222" w:rsidP="00321565">
            <w:pPr>
              <w:rPr>
                <w:rFonts w:ascii="Arial" w:hAnsi="Arial" w:cs="Arial"/>
              </w:rPr>
            </w:pPr>
          </w:p>
        </w:tc>
      </w:tr>
    </w:tbl>
    <w:p w:rsidR="002F2972" w:rsidRPr="002F2972" w:rsidRDefault="002F2972" w:rsidP="002F2972">
      <w:pPr>
        <w:rPr>
          <w:rFonts w:ascii="Arial" w:hAnsi="Arial" w:cs="Arial"/>
        </w:rPr>
      </w:pPr>
    </w:p>
    <w:p w:rsidR="002A7CB0" w:rsidRPr="002F2972" w:rsidRDefault="002A7CB0" w:rsidP="002B2044">
      <w:pPr>
        <w:rPr>
          <w:rFonts w:ascii="Arial" w:hAnsi="Arial" w:cs="Arial"/>
        </w:rPr>
      </w:pPr>
    </w:p>
    <w:sectPr w:rsidR="002A7CB0" w:rsidRPr="002F2972" w:rsidSect="002B204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72" w:rsidRDefault="002F2972" w:rsidP="00013234">
      <w:pPr>
        <w:spacing w:after="0" w:line="240" w:lineRule="auto"/>
      </w:pPr>
      <w:r>
        <w:separator/>
      </w:r>
    </w:p>
  </w:endnote>
  <w:endnote w:type="continuationSeparator" w:id="0">
    <w:p w:rsidR="002F2972" w:rsidRDefault="002F2972" w:rsidP="0001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097371"/>
      <w:docPartObj>
        <w:docPartGallery w:val="Page Numbers (Bottom of Page)"/>
        <w:docPartUnique/>
      </w:docPartObj>
    </w:sdtPr>
    <w:sdtEndPr>
      <w:rPr>
        <w:noProof/>
        <w:color w:val="009AA6"/>
      </w:rPr>
    </w:sdtEndPr>
    <w:sdtContent>
      <w:p w:rsidR="00013234" w:rsidRPr="006C2C28" w:rsidRDefault="00013234">
        <w:pPr>
          <w:pStyle w:val="Footer"/>
          <w:jc w:val="right"/>
          <w:rPr>
            <w:color w:val="009AA6"/>
          </w:rPr>
        </w:pPr>
        <w:r w:rsidRPr="004D3232">
          <w:rPr>
            <w:color w:val="000000" w:themeColor="text1"/>
          </w:rPr>
          <w:fldChar w:fldCharType="begin"/>
        </w:r>
        <w:r w:rsidRPr="004D3232">
          <w:rPr>
            <w:color w:val="000000" w:themeColor="text1"/>
          </w:rPr>
          <w:instrText xml:space="preserve"> PAGE   \* MERGEFORMAT </w:instrText>
        </w:r>
        <w:r w:rsidRPr="004D3232">
          <w:rPr>
            <w:color w:val="000000" w:themeColor="text1"/>
          </w:rPr>
          <w:fldChar w:fldCharType="separate"/>
        </w:r>
        <w:r w:rsidR="00582938">
          <w:rPr>
            <w:noProof/>
            <w:color w:val="000000" w:themeColor="text1"/>
          </w:rPr>
          <w:t>2</w:t>
        </w:r>
        <w:r w:rsidRPr="004D3232">
          <w:rPr>
            <w:noProof/>
            <w:color w:val="000000" w:themeColor="text1"/>
          </w:rPr>
          <w:fldChar w:fldCharType="end"/>
        </w:r>
      </w:p>
    </w:sdtContent>
  </w:sdt>
  <w:p w:rsidR="00013234" w:rsidRDefault="00284469" w:rsidP="000B6A52">
    <w:pPr>
      <w:pStyle w:val="Footer"/>
      <w:tabs>
        <w:tab w:val="clear" w:pos="4513"/>
        <w:tab w:val="clear" w:pos="9026"/>
        <w:tab w:val="left" w:pos="5760"/>
      </w:tabs>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1" locked="0" layoutInCell="1" allowOverlap="1" wp14:anchorId="258F2013" wp14:editId="7ECE3DC2">
              <wp:simplePos x="0" y="0"/>
              <wp:positionH relativeFrom="column">
                <wp:posOffset>7137400</wp:posOffset>
              </wp:positionH>
              <wp:positionV relativeFrom="paragraph">
                <wp:posOffset>229870</wp:posOffset>
              </wp:positionV>
              <wp:extent cx="2444115" cy="2228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rsidR="00284469" w:rsidRDefault="00284469" w:rsidP="00284469">
                          <w:pPr>
                            <w:jc w:val="right"/>
                            <w:rPr>
                              <w:sz w:val="16"/>
                            </w:rPr>
                          </w:pPr>
                          <w:r>
                            <w:rPr>
                              <w:sz w:val="16"/>
                            </w:rPr>
                            <w:t>SAFE  WELL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F2013" id="_x0000_t202" coordsize="21600,21600" o:spt="202" path="m,l,21600r21600,l21600,xe">
              <v:stroke joinstyle="miter"/>
              <v:path gradientshapeok="t" o:connecttype="rect"/>
            </v:shapetype>
            <v:shape id="Text Box 3" o:spid="_x0000_s1026" type="#_x0000_t202" style="position:absolute;margin-left:562pt;margin-top:18.1pt;width:192.45pt;height:17.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" filled="f" stroked="f">
              <v:textbox>
                <w:txbxContent>
                  <w:p w:rsidR="00284469" w:rsidRDefault="00284469" w:rsidP="00284469">
                    <w:pPr>
                      <w:jc w:val="right"/>
                      <w:rPr>
                        <w:sz w:val="16"/>
                      </w:rPr>
                    </w:pPr>
                    <w:r>
                      <w:rPr>
                        <w:sz w:val="16"/>
                      </w:rPr>
                      <w:t>SAFE  WELL  PROSPEROUS  CONNECTED</w:t>
                    </w:r>
                  </w:p>
                </w:txbxContent>
              </v:textbox>
            </v:shape>
          </w:pict>
        </mc:Fallback>
      </mc:AlternateContent>
    </w:r>
    <w:r w:rsidR="00C338BB">
      <w:rPr>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180340</wp:posOffset>
          </wp:positionV>
          <wp:extent cx="10332000" cy="5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A4 landscape Word FOO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0" cy="57600"/>
                  </a:xfrm>
                  <a:prstGeom prst="rect">
                    <a:avLst/>
                  </a:prstGeom>
                </pic:spPr>
              </pic:pic>
            </a:graphicData>
          </a:graphic>
          <wp14:sizeRelH relativeFrom="page">
            <wp14:pctWidth>0</wp14:pctWidth>
          </wp14:sizeRelH>
          <wp14:sizeRelV relativeFrom="page">
            <wp14:pctHeight>0</wp14:pctHeight>
          </wp14:sizeRelV>
        </wp:anchor>
      </w:drawing>
    </w:r>
    <w:r w:rsidR="000B6A5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72" w:rsidRDefault="002F2972" w:rsidP="00013234">
      <w:pPr>
        <w:spacing w:after="0" w:line="240" w:lineRule="auto"/>
      </w:pPr>
      <w:r>
        <w:separator/>
      </w:r>
    </w:p>
  </w:footnote>
  <w:footnote w:type="continuationSeparator" w:id="0">
    <w:p w:rsidR="002F2972" w:rsidRDefault="002F2972" w:rsidP="0001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201" w:rsidRDefault="00C338BB">
    <w:pPr>
      <w:pStyle w:val="Heade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-180340</wp:posOffset>
          </wp:positionV>
          <wp:extent cx="10332000" cy="3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A4 landscape Word HEA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0" cy="3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255A3"/>
    <w:multiLevelType w:val="multilevel"/>
    <w:tmpl w:val="3F5C18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24B15CB"/>
    <w:multiLevelType w:val="multilevel"/>
    <w:tmpl w:val="723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72"/>
    <w:rsid w:val="00013234"/>
    <w:rsid w:val="000137C9"/>
    <w:rsid w:val="000B6A52"/>
    <w:rsid w:val="00127A2D"/>
    <w:rsid w:val="0013372A"/>
    <w:rsid w:val="001423D4"/>
    <w:rsid w:val="001E41F1"/>
    <w:rsid w:val="00284469"/>
    <w:rsid w:val="002A7CB0"/>
    <w:rsid w:val="002B2044"/>
    <w:rsid w:val="002D2D5B"/>
    <w:rsid w:val="002F2972"/>
    <w:rsid w:val="00345BF2"/>
    <w:rsid w:val="003B5342"/>
    <w:rsid w:val="003C39CC"/>
    <w:rsid w:val="00454E9C"/>
    <w:rsid w:val="00463467"/>
    <w:rsid w:val="00471231"/>
    <w:rsid w:val="004D3232"/>
    <w:rsid w:val="004D3EFB"/>
    <w:rsid w:val="00582938"/>
    <w:rsid w:val="005C5C03"/>
    <w:rsid w:val="005F68B6"/>
    <w:rsid w:val="00603727"/>
    <w:rsid w:val="00630EE2"/>
    <w:rsid w:val="006B298A"/>
    <w:rsid w:val="006C2C28"/>
    <w:rsid w:val="00751BF0"/>
    <w:rsid w:val="00752632"/>
    <w:rsid w:val="007A2CC3"/>
    <w:rsid w:val="007A6222"/>
    <w:rsid w:val="00817DA7"/>
    <w:rsid w:val="008251EC"/>
    <w:rsid w:val="008F3D3D"/>
    <w:rsid w:val="00900CAB"/>
    <w:rsid w:val="009A674C"/>
    <w:rsid w:val="00A4277B"/>
    <w:rsid w:val="00A633D5"/>
    <w:rsid w:val="00B42CD9"/>
    <w:rsid w:val="00C338BB"/>
    <w:rsid w:val="00D12307"/>
    <w:rsid w:val="00D14C70"/>
    <w:rsid w:val="00D51201"/>
    <w:rsid w:val="00E22408"/>
    <w:rsid w:val="00E238E2"/>
    <w:rsid w:val="00EB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E79BB58-0E04-40E4-894D-18571507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2F2972"/>
  </w:style>
  <w:style w:type="paragraph" w:styleId="Heading1">
    <w:name w:val="heading 1"/>
    <w:basedOn w:val="Normal"/>
    <w:next w:val="Normal"/>
    <w:link w:val="Heading1Char"/>
    <w:uiPriority w:val="9"/>
    <w:qFormat/>
    <w:rsid w:val="00013234"/>
    <w:pPr>
      <w:keepNext/>
      <w:keepLines/>
      <w:spacing w:before="240" w:after="0"/>
      <w:outlineLvl w:val="0"/>
    </w:pPr>
    <w:rPr>
      <w:rFonts w:eastAsiaTheme="majorEastAsia" w:cstheme="majorBidi"/>
      <w:color w:val="009AA6"/>
      <w:sz w:val="28"/>
      <w:szCs w:val="32"/>
    </w:rPr>
  </w:style>
  <w:style w:type="paragraph" w:styleId="Heading2">
    <w:name w:val="heading 2"/>
    <w:basedOn w:val="Normal"/>
    <w:next w:val="Normal"/>
    <w:link w:val="Heading2Char"/>
    <w:uiPriority w:val="9"/>
    <w:unhideWhenUsed/>
    <w:qFormat/>
    <w:rsid w:val="00127A2D"/>
    <w:pPr>
      <w:keepNext/>
      <w:keepLines/>
      <w:spacing w:before="40" w:after="0"/>
      <w:outlineLvl w:val="1"/>
    </w:pPr>
    <w:rPr>
      <w:rFonts w:eastAsiaTheme="majorEastAsia" w:cstheme="majorBidi"/>
      <w:color w:val="009AA6"/>
      <w:sz w:val="26"/>
      <w:szCs w:val="26"/>
    </w:rPr>
  </w:style>
  <w:style w:type="paragraph" w:styleId="Heading3">
    <w:name w:val="heading 3"/>
    <w:basedOn w:val="Normal"/>
    <w:next w:val="Normal"/>
    <w:link w:val="Heading3Char"/>
    <w:uiPriority w:val="9"/>
    <w:unhideWhenUsed/>
    <w:qFormat/>
    <w:rsid w:val="00013234"/>
    <w:pPr>
      <w:keepNext/>
      <w:keepLines/>
      <w:spacing w:before="40" w:after="0"/>
      <w:outlineLvl w:val="2"/>
    </w:pPr>
    <w:rPr>
      <w:rFonts w:eastAsiaTheme="majorEastAsia" w:cstheme="majorBidi"/>
      <w:color w:val="283439"/>
      <w:sz w:val="24"/>
      <w:szCs w:val="24"/>
    </w:rPr>
  </w:style>
  <w:style w:type="paragraph" w:styleId="Heading4">
    <w:name w:val="heading 4"/>
    <w:basedOn w:val="Normal"/>
    <w:next w:val="Normal"/>
    <w:link w:val="Heading4Char"/>
    <w:uiPriority w:val="9"/>
    <w:unhideWhenUsed/>
    <w:qFormat/>
    <w:rsid w:val="00013234"/>
    <w:pPr>
      <w:keepNext/>
      <w:keepLines/>
      <w:spacing w:before="40" w:after="0"/>
      <w:outlineLvl w:val="3"/>
    </w:pPr>
    <w:rPr>
      <w:rFonts w:eastAsiaTheme="majorEastAsia" w:cstheme="majorBidi"/>
      <w:i/>
      <w:iCs/>
      <w:color w:val="28343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A2D"/>
    <w:rPr>
      <w:rFonts w:ascii="Arial" w:eastAsiaTheme="majorEastAsia" w:hAnsi="Arial" w:cstheme="majorBidi"/>
      <w:color w:val="009AA6"/>
      <w:sz w:val="26"/>
      <w:szCs w:val="26"/>
    </w:rPr>
  </w:style>
  <w:style w:type="character" w:customStyle="1" w:styleId="Heading1Char">
    <w:name w:val="Heading 1 Char"/>
    <w:basedOn w:val="DefaultParagraphFont"/>
    <w:link w:val="Heading1"/>
    <w:uiPriority w:val="9"/>
    <w:rsid w:val="00013234"/>
    <w:rPr>
      <w:rFonts w:ascii="Arial" w:eastAsiaTheme="majorEastAsia" w:hAnsi="Arial" w:cstheme="majorBidi"/>
      <w:color w:val="009AA6"/>
      <w:sz w:val="28"/>
      <w:szCs w:val="32"/>
    </w:rPr>
  </w:style>
  <w:style w:type="paragraph" w:styleId="Title">
    <w:name w:val="Title"/>
    <w:basedOn w:val="Normal"/>
    <w:next w:val="Normal"/>
    <w:link w:val="TitleChar"/>
    <w:uiPriority w:val="10"/>
    <w:qFormat/>
    <w:rsid w:val="00013234"/>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013234"/>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127A2D"/>
  </w:style>
  <w:style w:type="character" w:customStyle="1" w:styleId="SubtitleChar">
    <w:name w:val="Subtitle Char"/>
    <w:basedOn w:val="DefaultParagraphFont"/>
    <w:link w:val="Subtitle"/>
    <w:uiPriority w:val="11"/>
    <w:rsid w:val="00127A2D"/>
    <w:rPr>
      <w:rFonts w:ascii="Arial" w:hAnsi="Arial"/>
      <w:sz w:val="24"/>
    </w:rPr>
  </w:style>
  <w:style w:type="paragraph" w:styleId="NoSpacing">
    <w:name w:val="No Spacing"/>
    <w:uiPriority w:val="1"/>
    <w:qFormat/>
    <w:rsid w:val="00013234"/>
    <w:pPr>
      <w:spacing w:after="0" w:line="240" w:lineRule="auto"/>
    </w:pPr>
    <w:rPr>
      <w:rFonts w:ascii="Arial" w:hAnsi="Arial"/>
    </w:rPr>
  </w:style>
  <w:style w:type="character" w:styleId="Emphasis">
    <w:name w:val="Emphasis"/>
    <w:basedOn w:val="DefaultParagraphFont"/>
    <w:uiPriority w:val="20"/>
    <w:qFormat/>
    <w:rsid w:val="00127A2D"/>
    <w:rPr>
      <w:rFonts w:ascii="Arial" w:hAnsi="Arial"/>
      <w:i/>
      <w:iCs/>
    </w:rPr>
  </w:style>
  <w:style w:type="character" w:styleId="SubtleEmphasis">
    <w:name w:val="Subtle Emphasis"/>
    <w:basedOn w:val="DefaultParagraphFont"/>
    <w:uiPriority w:val="19"/>
    <w:qFormat/>
    <w:rsid w:val="002A7CB0"/>
    <w:rPr>
      <w:rFonts w:ascii="Arial" w:hAnsi="Arial"/>
      <w:i/>
      <w:iCs/>
      <w:color w:val="404040" w:themeColor="text1" w:themeTint="BF"/>
    </w:rPr>
  </w:style>
  <w:style w:type="character" w:styleId="IntenseEmphasis">
    <w:name w:val="Intense Emphasis"/>
    <w:basedOn w:val="DefaultParagraphFont"/>
    <w:uiPriority w:val="21"/>
    <w:qFormat/>
    <w:rsid w:val="00127A2D"/>
    <w:rPr>
      <w:rFonts w:ascii="Arial" w:hAnsi="Arial"/>
      <w:i/>
      <w:iCs/>
      <w:color w:val="009AA6"/>
    </w:rPr>
  </w:style>
  <w:style w:type="paragraph" w:styleId="IntenseQuote">
    <w:name w:val="Intense Quote"/>
    <w:basedOn w:val="Normal"/>
    <w:next w:val="Normal"/>
    <w:link w:val="IntenseQuoteChar"/>
    <w:uiPriority w:val="30"/>
    <w:qFormat/>
    <w:rsid w:val="002A7CB0"/>
    <w:pPr>
      <w:pBdr>
        <w:top w:val="single" w:sz="4" w:space="10" w:color="009AA6"/>
        <w:bottom w:val="single" w:sz="4" w:space="10" w:color="009AA6"/>
      </w:pBdr>
      <w:spacing w:before="360" w:after="360"/>
      <w:ind w:left="864" w:right="864"/>
      <w:jc w:val="center"/>
    </w:pPr>
    <w:rPr>
      <w:i/>
      <w:iCs/>
      <w:color w:val="009AA6"/>
    </w:rPr>
  </w:style>
  <w:style w:type="character" w:customStyle="1" w:styleId="IntenseQuoteChar">
    <w:name w:val="Intense Quote Char"/>
    <w:basedOn w:val="DefaultParagraphFont"/>
    <w:link w:val="IntenseQuote"/>
    <w:uiPriority w:val="30"/>
    <w:rsid w:val="002A7CB0"/>
    <w:rPr>
      <w:rFonts w:ascii="Arial" w:hAnsi="Arial"/>
      <w:i/>
      <w:iCs/>
      <w:color w:val="009AA6"/>
      <w:sz w:val="24"/>
    </w:rPr>
  </w:style>
  <w:style w:type="character" w:styleId="Strong">
    <w:name w:val="Strong"/>
    <w:basedOn w:val="DefaultParagraphFont"/>
    <w:uiPriority w:val="22"/>
    <w:qFormat/>
    <w:rsid w:val="00127A2D"/>
    <w:rPr>
      <w:rFonts w:ascii="Arial" w:hAnsi="Arial"/>
      <w:b/>
      <w:bCs/>
    </w:rPr>
  </w:style>
  <w:style w:type="paragraph" w:styleId="Quote">
    <w:name w:val="Quote"/>
    <w:basedOn w:val="Normal"/>
    <w:next w:val="Normal"/>
    <w:link w:val="QuoteChar"/>
    <w:uiPriority w:val="29"/>
    <w:qFormat/>
    <w:rsid w:val="00127A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A2D"/>
    <w:rPr>
      <w:rFonts w:ascii="Arial" w:hAnsi="Arial"/>
      <w:i/>
      <w:iCs/>
      <w:color w:val="404040" w:themeColor="text1" w:themeTint="BF"/>
      <w:sz w:val="24"/>
    </w:rPr>
  </w:style>
  <w:style w:type="character" w:styleId="SubtleReference">
    <w:name w:val="Subtle Reference"/>
    <w:basedOn w:val="DefaultParagraphFont"/>
    <w:uiPriority w:val="31"/>
    <w:qFormat/>
    <w:rsid w:val="002D2D5B"/>
    <w:rPr>
      <w:rFonts w:ascii="Arial" w:hAnsi="Arial"/>
      <w:smallCaps/>
      <w:color w:val="283439"/>
    </w:rPr>
  </w:style>
  <w:style w:type="character" w:styleId="IntenseReference">
    <w:name w:val="Intense Reference"/>
    <w:basedOn w:val="DefaultParagraphFont"/>
    <w:uiPriority w:val="32"/>
    <w:qFormat/>
    <w:rsid w:val="002D2D5B"/>
    <w:rPr>
      <w:rFonts w:ascii="Arial" w:hAnsi="Arial"/>
      <w:b/>
      <w:bCs/>
      <w:smallCaps/>
      <w:color w:val="009AA6"/>
      <w:spacing w:val="5"/>
    </w:rPr>
  </w:style>
  <w:style w:type="character" w:styleId="BookTitle">
    <w:name w:val="Book Title"/>
    <w:basedOn w:val="DefaultParagraphFont"/>
    <w:uiPriority w:val="33"/>
    <w:qFormat/>
    <w:rsid w:val="002D2D5B"/>
    <w:rPr>
      <w:rFonts w:ascii="Arial" w:hAnsi="Arial"/>
      <w:b/>
      <w:bCs/>
      <w:i/>
      <w:iCs/>
      <w:spacing w:val="5"/>
    </w:rPr>
  </w:style>
  <w:style w:type="paragraph" w:styleId="ListParagraph">
    <w:name w:val="List Paragraph"/>
    <w:basedOn w:val="Normal"/>
    <w:uiPriority w:val="34"/>
    <w:qFormat/>
    <w:rsid w:val="002D2D5B"/>
    <w:pPr>
      <w:ind w:left="720"/>
      <w:contextualSpacing/>
    </w:pPr>
  </w:style>
  <w:style w:type="character" w:customStyle="1" w:styleId="Heading3Char">
    <w:name w:val="Heading 3 Char"/>
    <w:basedOn w:val="DefaultParagraphFont"/>
    <w:link w:val="Heading3"/>
    <w:uiPriority w:val="9"/>
    <w:rsid w:val="00013234"/>
    <w:rPr>
      <w:rFonts w:ascii="Arial" w:eastAsiaTheme="majorEastAsia" w:hAnsi="Arial" w:cstheme="majorBidi"/>
      <w:color w:val="283439"/>
      <w:sz w:val="24"/>
      <w:szCs w:val="24"/>
    </w:rPr>
  </w:style>
  <w:style w:type="character" w:customStyle="1" w:styleId="Heading4Char">
    <w:name w:val="Heading 4 Char"/>
    <w:basedOn w:val="DefaultParagraphFont"/>
    <w:link w:val="Heading4"/>
    <w:uiPriority w:val="9"/>
    <w:rsid w:val="00013234"/>
    <w:rPr>
      <w:rFonts w:ascii="Arial" w:eastAsiaTheme="majorEastAsia" w:hAnsi="Arial" w:cstheme="majorBidi"/>
      <w:i/>
      <w:iCs/>
      <w:color w:val="283439"/>
      <w:sz w:val="24"/>
    </w:rPr>
  </w:style>
  <w:style w:type="paragraph" w:styleId="Header">
    <w:name w:val="header"/>
    <w:basedOn w:val="Normal"/>
    <w:link w:val="HeaderChar"/>
    <w:uiPriority w:val="99"/>
    <w:unhideWhenUsed/>
    <w:rsid w:val="0001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34"/>
    <w:rPr>
      <w:rFonts w:ascii="Arial" w:hAnsi="Arial"/>
    </w:rPr>
  </w:style>
  <w:style w:type="paragraph" w:styleId="Footer">
    <w:name w:val="footer"/>
    <w:basedOn w:val="Normal"/>
    <w:link w:val="FooterChar"/>
    <w:uiPriority w:val="99"/>
    <w:unhideWhenUsed/>
    <w:rsid w:val="0001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34"/>
    <w:rPr>
      <w:rFonts w:ascii="Arial" w:hAnsi="Arial"/>
    </w:rPr>
  </w:style>
  <w:style w:type="table" w:styleId="TableGrid">
    <w:name w:val="Table Grid"/>
    <w:basedOn w:val="TableNormal"/>
    <w:uiPriority w:val="39"/>
    <w:rsid w:val="002F2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29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c33036\Templates\NLC%20Corporate%20(landscape).dotx" TargetMode="External"/></Relationships>
</file>

<file path=word/theme/theme1.xml><?xml version="1.0" encoding="utf-8"?>
<a:theme xmlns:a="http://schemas.openxmlformats.org/drawingml/2006/main" name="North Lincolnshire Council">
  <a:themeElements>
    <a:clrScheme name="Custom 1">
      <a:dk1>
        <a:srgbClr val="000000"/>
      </a:dk1>
      <a:lt1>
        <a:srgbClr val="FFFFFF"/>
      </a:lt1>
      <a:dk2>
        <a:srgbClr val="37424A"/>
      </a:dk2>
      <a:lt2>
        <a:srgbClr val="FFFFFF"/>
      </a:lt2>
      <a:accent1>
        <a:srgbClr val="009AA6"/>
      </a:accent1>
      <a:accent2>
        <a:srgbClr val="EBB700"/>
      </a:accent2>
      <a:accent3>
        <a:srgbClr val="DC5034"/>
      </a:accent3>
      <a:accent4>
        <a:srgbClr val="D71F85"/>
      </a:accent4>
      <a:accent5>
        <a:srgbClr val="AEB4AB"/>
      </a:accent5>
      <a:accent6>
        <a:srgbClr val="BDB1A6"/>
      </a:accent6>
      <a:hlink>
        <a:srgbClr val="009AA6"/>
      </a:hlink>
      <a:folHlink>
        <a:srgbClr val="DC5034"/>
      </a:folHlink>
    </a:clrScheme>
    <a:fontScheme name="North Lincolnshire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th Lincolnshire Council" id="{CFCBA83A-D626-4E99-9B24-4981AC93DC6A}" vid="{C81F5987-7F23-4B24-AECD-F3E8214AD46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B280-EBA4-4BEC-B2CB-BFC3DA57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NLC Corporate (landscape)</Template>
  <TotalTime>1</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Frost</dc:creator>
  <cp:keywords/>
  <dc:description/>
  <cp:lastModifiedBy>Suzanne Watson</cp:lastModifiedBy>
  <cp:revision>2</cp:revision>
  <dcterms:created xsi:type="dcterms:W3CDTF">2020-04-20T09:28:00Z</dcterms:created>
  <dcterms:modified xsi:type="dcterms:W3CDTF">2020-04-20T09:28:00Z</dcterms:modified>
</cp:coreProperties>
</file>